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4B672" w14:textId="47117F2A"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515563">
        <w:t>100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531302">
        <w:rPr>
          <w:sz w:val="32"/>
          <w:szCs w:val="32"/>
        </w:rPr>
        <w:t>13485</w:t>
      </w:r>
    </w:p>
    <w:p w14:paraId="4397F1FB" w14:textId="6C5D9B1D" w:rsidR="00E90E49" w:rsidRPr="00CE0424" w:rsidRDefault="00515563" w:rsidP="00311702">
      <w:pPr>
        <w:pStyle w:val="3GPPHeader"/>
      </w:pPr>
      <w:r>
        <w:t>Reno</w:t>
      </w:r>
      <w:r w:rsidR="00873DB0" w:rsidRPr="00631CA0">
        <w:t xml:space="preserve">, </w:t>
      </w:r>
      <w:r w:rsidR="00A96E8C">
        <w:t>US,</w:t>
      </w:r>
      <w:r w:rsidR="00873DB0">
        <w:t xml:space="preserve"> </w:t>
      </w:r>
      <w:r w:rsidR="00A96E8C">
        <w:t>27</w:t>
      </w:r>
      <w:r w:rsidR="00A96E8C" w:rsidRPr="004E432D">
        <w:rPr>
          <w:vertAlign w:val="superscript"/>
        </w:rPr>
        <w:t>th</w:t>
      </w:r>
      <w:r w:rsidR="00A96E8C">
        <w:t xml:space="preserve"> Nov </w:t>
      </w:r>
      <w:r w:rsidR="00873DB0" w:rsidRPr="00631CA0">
        <w:t xml:space="preserve">– </w:t>
      </w:r>
      <w:r w:rsidR="00A96E8C">
        <w:t>1</w:t>
      </w:r>
      <w:r w:rsidR="00A96E8C" w:rsidRPr="00A96E8C">
        <w:rPr>
          <w:vertAlign w:val="superscript"/>
        </w:rPr>
        <w:t>st</w:t>
      </w:r>
      <w:r w:rsidR="00A96E8C">
        <w:t xml:space="preserve"> Dec </w:t>
      </w:r>
      <w:r w:rsidR="00873DB0" w:rsidRPr="00631CA0">
        <w:t>2017</w:t>
      </w:r>
      <w:r>
        <w:t xml:space="preserve"> </w:t>
      </w:r>
      <w:r>
        <w:tab/>
        <w:t>Revision of R2-</w:t>
      </w:r>
      <w:r w:rsidRPr="00515563">
        <w:rPr>
          <w:szCs w:val="32"/>
        </w:rPr>
        <w:t>1711184</w:t>
      </w:r>
    </w:p>
    <w:p w14:paraId="372AF75C" w14:textId="77777777" w:rsidR="00E90E49" w:rsidRPr="00CE0424" w:rsidRDefault="00E90E49" w:rsidP="00357380">
      <w:pPr>
        <w:pStyle w:val="3GPPHeader"/>
      </w:pPr>
    </w:p>
    <w:p w14:paraId="066061B6" w14:textId="60AF04E1" w:rsidR="00E90E49" w:rsidRPr="00E90D1D" w:rsidRDefault="00E90E49" w:rsidP="00311702">
      <w:pPr>
        <w:pStyle w:val="3GPPHeader"/>
        <w:rPr>
          <w:sz w:val="22"/>
          <w:szCs w:val="22"/>
          <w:lang w:val="en-US"/>
        </w:rPr>
      </w:pPr>
      <w:r w:rsidRPr="00E90D1D">
        <w:rPr>
          <w:sz w:val="22"/>
          <w:szCs w:val="22"/>
          <w:lang w:val="en-US"/>
        </w:rPr>
        <w:t>Agenda Item:</w:t>
      </w:r>
      <w:r w:rsidRPr="00E90D1D">
        <w:rPr>
          <w:sz w:val="22"/>
          <w:szCs w:val="22"/>
          <w:lang w:val="en-US"/>
        </w:rPr>
        <w:tab/>
      </w:r>
      <w:r w:rsidR="00FF3E6B">
        <w:rPr>
          <w:sz w:val="22"/>
          <w:szCs w:val="22"/>
          <w:lang w:val="en-US"/>
        </w:rPr>
        <w:t>10.3.1.12</w:t>
      </w:r>
    </w:p>
    <w:p w14:paraId="3A913C1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0BA0D7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15563">
        <w:rPr>
          <w:sz w:val="22"/>
          <w:szCs w:val="22"/>
        </w:rPr>
        <w:t>Power Control Aspects</w:t>
      </w:r>
    </w:p>
    <w:p w14:paraId="2CA2D43D" w14:textId="25AD2B79" w:rsidR="00E90E49" w:rsidRDefault="00E90E49" w:rsidP="00D546FF">
      <w:pPr>
        <w:pStyle w:val="3GPPHeader"/>
        <w:rPr>
          <w:sz w:val="22"/>
          <w:szCs w:val="22"/>
        </w:rPr>
      </w:pPr>
      <w:r w:rsidRPr="00EB1038">
        <w:rPr>
          <w:sz w:val="22"/>
          <w:szCs w:val="22"/>
        </w:rPr>
        <w:t>Document for:</w:t>
      </w:r>
      <w:r w:rsidRPr="00EB1038">
        <w:rPr>
          <w:sz w:val="22"/>
          <w:szCs w:val="22"/>
        </w:rPr>
        <w:tab/>
        <w:t>Discussion, Decision</w:t>
      </w:r>
    </w:p>
    <w:p w14:paraId="7F697AF3" w14:textId="77777777" w:rsidR="00EB1038" w:rsidRDefault="00EB1038" w:rsidP="00D546FF">
      <w:pPr>
        <w:pStyle w:val="3GPPHeader"/>
        <w:rPr>
          <w:sz w:val="22"/>
          <w:szCs w:val="22"/>
        </w:rPr>
      </w:pPr>
    </w:p>
    <w:p w14:paraId="362EC74C" w14:textId="77777777" w:rsidR="00C24345" w:rsidRDefault="00E90E49" w:rsidP="00A2052C">
      <w:pPr>
        <w:pStyle w:val="Heading1"/>
      </w:pPr>
      <w:r w:rsidRPr="00CE0424">
        <w:t>Introduction</w:t>
      </w:r>
    </w:p>
    <w:p w14:paraId="3BA06E60" w14:textId="2019F1F8" w:rsidR="00A2052C" w:rsidRPr="00A2052C" w:rsidRDefault="00385736" w:rsidP="00E90D1D">
      <w:pPr>
        <w:spacing w:after="180"/>
      </w:pPr>
      <w:r>
        <w:rPr>
          <w:lang w:eastAsia="ja-JP"/>
        </w:rPr>
        <w:t>RAN1 has made substantial progress concerning UE uplink power control. This contribution describes the potential RAN2 impact regarding RAN1 agreements.</w:t>
      </w:r>
    </w:p>
    <w:p w14:paraId="70545CF6" w14:textId="2CF060DA" w:rsidR="00385736" w:rsidRDefault="004000E8" w:rsidP="00385736">
      <w:pPr>
        <w:pStyle w:val="Heading1"/>
      </w:pPr>
      <w:bookmarkStart w:id="1" w:name="_Ref178064866"/>
      <w:r w:rsidRPr="00CE0424">
        <w:t>Discussion</w:t>
      </w:r>
      <w:bookmarkEnd w:id="1"/>
    </w:p>
    <w:p w14:paraId="6D9B4879" w14:textId="072B4C17" w:rsidR="00E90D1D" w:rsidRDefault="00E90D1D" w:rsidP="00EB1038">
      <w:pPr>
        <w:pStyle w:val="Heading2"/>
        <w:rPr>
          <w:lang w:eastAsia="ja-JP"/>
        </w:rPr>
      </w:pPr>
      <w:r>
        <w:rPr>
          <w:lang w:eastAsia="ja-JP"/>
        </w:rPr>
        <w:t>Power sharing in DC</w:t>
      </w:r>
    </w:p>
    <w:p w14:paraId="397A991E" w14:textId="7BA46A9F" w:rsidR="00385736" w:rsidRDefault="00385736" w:rsidP="00385736">
      <w:pPr>
        <w:rPr>
          <w:rFonts w:eastAsia="MS Mincho"/>
        </w:rPr>
      </w:pPr>
      <w:r>
        <w:rPr>
          <w:lang w:eastAsia="ja-JP"/>
        </w:rPr>
        <w:t xml:space="preserve">At </w:t>
      </w:r>
      <w:r w:rsidRPr="00F24C01">
        <w:rPr>
          <w:lang w:eastAsia="ja-JP"/>
        </w:rPr>
        <w:t>RAN</w:t>
      </w:r>
      <w:r>
        <w:rPr>
          <w:lang w:eastAsia="ja-JP"/>
        </w:rPr>
        <w:t>1</w:t>
      </w:r>
      <w:r w:rsidRPr="00F24C01">
        <w:rPr>
          <w:lang w:eastAsia="ja-JP"/>
        </w:rPr>
        <w:t>#9</w:t>
      </w:r>
      <w:r>
        <w:rPr>
          <w:lang w:eastAsia="ja-JP"/>
        </w:rPr>
        <w:t>0</w:t>
      </w:r>
      <w:r w:rsidRPr="00F24C01">
        <w:rPr>
          <w:lang w:eastAsia="ja-JP"/>
        </w:rPr>
        <w:t xml:space="preserve">, the following agreements </w:t>
      </w:r>
      <w:r>
        <w:rPr>
          <w:lang w:eastAsia="ja-JP"/>
        </w:rPr>
        <w:t>on power sharing mechanisms for LTE-NR DC</w:t>
      </w:r>
      <w:r w:rsidRPr="0048707C">
        <w:rPr>
          <w:rFonts w:eastAsia="MS Mincho"/>
        </w:rPr>
        <w:t xml:space="preserve"> </w:t>
      </w:r>
    </w:p>
    <w:p w14:paraId="2F50DDDB" w14:textId="77777777" w:rsidR="00385736" w:rsidRPr="0048707C" w:rsidRDefault="00385736" w:rsidP="00385736">
      <w:pPr>
        <w:rPr>
          <w:rFonts w:eastAsia="MS Mincho"/>
        </w:rPr>
      </w:pPr>
      <w:r w:rsidRPr="0048707C">
        <w:rPr>
          <w:rFonts w:eastAsia="MS Mincho"/>
        </w:rPr>
        <w:t>At least for LTE-NR NSA operation</w:t>
      </w:r>
    </w:p>
    <w:p w14:paraId="4C5BD8C0"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Maximum allowed power values for LTE (P_LTE) and NR (P_NR) are set separately</w:t>
      </w:r>
    </w:p>
    <w:p w14:paraId="7A970E72" w14:textId="77777777" w:rsidR="00385736" w:rsidRPr="0048707C" w:rsidRDefault="00385736" w:rsidP="00385736">
      <w:pPr>
        <w:pStyle w:val="ListParagraph"/>
        <w:numPr>
          <w:ilvl w:val="2"/>
          <w:numId w:val="20"/>
        </w:numPr>
        <w:tabs>
          <w:tab w:val="left" w:pos="1440"/>
        </w:tabs>
        <w:spacing w:after="180"/>
        <w:rPr>
          <w:rFonts w:eastAsia="MS Mincho"/>
        </w:rPr>
      </w:pPr>
      <w:r w:rsidRPr="0048707C">
        <w:rPr>
          <w:rFonts w:eastAsia="MS Mincho"/>
        </w:rPr>
        <w:t xml:space="preserve">i.e., when UE is configured for NR, P_LTE can be configured up to </w:t>
      </w:r>
      <w:proofErr w:type="spellStart"/>
      <w:r w:rsidRPr="0048707C">
        <w:rPr>
          <w:rFonts w:eastAsia="MS Mincho"/>
        </w:rPr>
        <w:t>P_cmax</w:t>
      </w:r>
      <w:proofErr w:type="spellEnd"/>
      <w:r w:rsidRPr="0048707C">
        <w:rPr>
          <w:rFonts w:eastAsia="MS Mincho"/>
        </w:rPr>
        <w:t xml:space="preserve"> and  P_NR can be configured up to </w:t>
      </w:r>
      <w:proofErr w:type="spellStart"/>
      <w:r w:rsidRPr="0048707C">
        <w:rPr>
          <w:rFonts w:eastAsia="MS Mincho"/>
        </w:rPr>
        <w:t>P_cmax</w:t>
      </w:r>
      <w:proofErr w:type="spellEnd"/>
      <w:r w:rsidRPr="0048707C">
        <w:rPr>
          <w:rFonts w:eastAsia="MS Mincho"/>
        </w:rPr>
        <w:t xml:space="preserve">. </w:t>
      </w:r>
    </w:p>
    <w:p w14:paraId="10121D4F" w14:textId="77777777" w:rsidR="00385736" w:rsidRPr="0048707C" w:rsidRDefault="00385736" w:rsidP="00385736">
      <w:pPr>
        <w:pStyle w:val="ListParagraph"/>
        <w:numPr>
          <w:ilvl w:val="2"/>
          <w:numId w:val="20"/>
        </w:numPr>
        <w:tabs>
          <w:tab w:val="left" w:pos="1440"/>
        </w:tabs>
        <w:spacing w:after="180"/>
        <w:rPr>
          <w:rFonts w:eastAsia="MS Mincho"/>
        </w:rPr>
      </w:pPr>
      <w:r w:rsidRPr="0048707C">
        <w:rPr>
          <w:rFonts w:eastAsia="MS Mincho"/>
        </w:rPr>
        <w:t xml:space="preserve">e.g. P_LTE + P_NR &gt; </w:t>
      </w:r>
      <w:proofErr w:type="spellStart"/>
      <w:r w:rsidRPr="0048707C">
        <w:rPr>
          <w:rFonts w:eastAsia="MS Mincho"/>
        </w:rPr>
        <w:t>P_cmax</w:t>
      </w:r>
      <w:proofErr w:type="spellEnd"/>
      <w:r w:rsidRPr="0048707C">
        <w:rPr>
          <w:rFonts w:eastAsia="MS Mincho"/>
        </w:rPr>
        <w:t xml:space="preserve"> or P_LTE + P_NR = </w:t>
      </w:r>
      <w:proofErr w:type="spellStart"/>
      <w:r w:rsidRPr="0048707C">
        <w:rPr>
          <w:rFonts w:eastAsia="MS Mincho"/>
        </w:rPr>
        <w:t>P_cmax</w:t>
      </w:r>
      <w:proofErr w:type="spellEnd"/>
    </w:p>
    <w:p w14:paraId="21FB16C6" w14:textId="77777777" w:rsidR="00385736" w:rsidRPr="00C10315" w:rsidRDefault="00385736" w:rsidP="00385736">
      <w:pPr>
        <w:pStyle w:val="ListParagraph"/>
        <w:numPr>
          <w:ilvl w:val="1"/>
          <w:numId w:val="20"/>
        </w:numPr>
        <w:tabs>
          <w:tab w:val="left" w:pos="1440"/>
        </w:tabs>
        <w:spacing w:after="180"/>
        <w:rPr>
          <w:rFonts w:eastAsia="MS Mincho"/>
          <w:highlight w:val="yellow"/>
        </w:rPr>
      </w:pPr>
      <w:r w:rsidRPr="00C10315">
        <w:rPr>
          <w:rFonts w:eastAsia="MS Mincho"/>
          <w:highlight w:val="yellow"/>
        </w:rPr>
        <w:t>Signaling details for P_LTE, P_NR are left to RAN2, RAN4.</w:t>
      </w:r>
    </w:p>
    <w:p w14:paraId="38A570D0"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Note: ‘</w:t>
      </w:r>
      <w:proofErr w:type="spellStart"/>
      <w:r w:rsidRPr="0048707C">
        <w:rPr>
          <w:rFonts w:eastAsia="MS Mincho"/>
        </w:rPr>
        <w:t>P_cmax</w:t>
      </w:r>
      <w:proofErr w:type="spellEnd"/>
      <w:r w:rsidRPr="0048707C">
        <w:rPr>
          <w:rFonts w:eastAsia="MS Mincho"/>
        </w:rPr>
        <w:t>’ is a limit that is similar to ‘The configured maximum UE output power’ that was specified for LTE.</w:t>
      </w:r>
    </w:p>
    <w:p w14:paraId="3DE5AEF5"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Note: The network will still have flexibility to prioritize or reserve certain NR transmission power depending on network implementation</w:t>
      </w:r>
    </w:p>
    <w:p w14:paraId="2F75CD37"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 xml:space="preserve">All UEs are mandated to handle P_LTE + P_NR = </w:t>
      </w:r>
      <w:proofErr w:type="spellStart"/>
      <w:r w:rsidRPr="0048707C">
        <w:rPr>
          <w:rFonts w:eastAsia="MS Mincho"/>
        </w:rPr>
        <w:t>P_cmax</w:t>
      </w:r>
      <w:proofErr w:type="spellEnd"/>
      <w:r w:rsidRPr="0048707C">
        <w:rPr>
          <w:rFonts w:eastAsia="MS Mincho"/>
        </w:rPr>
        <w:t xml:space="preserve"> while handling of P_LTE + P_NR &gt; </w:t>
      </w:r>
      <w:proofErr w:type="spellStart"/>
      <w:r w:rsidRPr="0048707C">
        <w:rPr>
          <w:rFonts w:eastAsia="MS Mincho"/>
        </w:rPr>
        <w:t>P_cmax</w:t>
      </w:r>
      <w:proofErr w:type="spellEnd"/>
      <w:r w:rsidRPr="0048707C">
        <w:rPr>
          <w:rFonts w:eastAsia="MS Mincho"/>
        </w:rPr>
        <w:t xml:space="preserve"> depends on UE capability</w:t>
      </w:r>
    </w:p>
    <w:p w14:paraId="554E7326"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 xml:space="preserve">At least, when DL/UL LTE </w:t>
      </w:r>
      <w:proofErr w:type="spellStart"/>
      <w:r w:rsidRPr="0048707C">
        <w:rPr>
          <w:rFonts w:eastAsia="MS Mincho"/>
        </w:rPr>
        <w:t>sTTI</w:t>
      </w:r>
      <w:proofErr w:type="spellEnd"/>
      <w:r w:rsidRPr="0048707C">
        <w:rPr>
          <w:rFonts w:eastAsia="MS Mincho"/>
        </w:rPr>
        <w:t xml:space="preserve">/reduced UE processing time based operation is not configured for the UE, if total transmit power exceeds </w:t>
      </w:r>
      <w:proofErr w:type="spellStart"/>
      <w:r w:rsidRPr="0048707C">
        <w:rPr>
          <w:rFonts w:eastAsia="MS Mincho"/>
        </w:rPr>
        <w:t>P_cmax</w:t>
      </w:r>
      <w:proofErr w:type="spellEnd"/>
      <w:r w:rsidRPr="0048707C">
        <w:rPr>
          <w:rFonts w:eastAsia="MS Mincho"/>
        </w:rPr>
        <w:t xml:space="preserve"> when there is simultaneous NR and LTE UL </w:t>
      </w:r>
      <w:proofErr w:type="spellStart"/>
      <w:r w:rsidRPr="0048707C">
        <w:rPr>
          <w:rFonts w:eastAsia="MS Mincho"/>
        </w:rPr>
        <w:t>tx</w:t>
      </w:r>
      <w:proofErr w:type="spellEnd"/>
      <w:r w:rsidRPr="0048707C">
        <w:rPr>
          <w:rFonts w:eastAsia="MS Mincho"/>
        </w:rPr>
        <w:t xml:space="preserve">, </w:t>
      </w:r>
    </w:p>
    <w:p w14:paraId="3DA44D2D" w14:textId="77777777" w:rsidR="00385736" w:rsidRPr="0048707C" w:rsidRDefault="00385736" w:rsidP="00385736">
      <w:pPr>
        <w:pStyle w:val="ListParagraph"/>
        <w:numPr>
          <w:ilvl w:val="2"/>
          <w:numId w:val="20"/>
        </w:numPr>
        <w:tabs>
          <w:tab w:val="left" w:pos="1440"/>
        </w:tabs>
        <w:spacing w:after="180"/>
        <w:rPr>
          <w:rFonts w:eastAsia="MS Mincho"/>
        </w:rPr>
      </w:pPr>
      <w:r w:rsidRPr="0048707C">
        <w:rPr>
          <w:rFonts w:eastAsia="MS Mincho"/>
        </w:rPr>
        <w:t>For NR, UE scales down/drops NR transmission and NR power scaling details are left to UE implementation (note: it is not intended to have RAN4 test from RAN1 perspective)</w:t>
      </w:r>
    </w:p>
    <w:p w14:paraId="63317F0D" w14:textId="77777777" w:rsidR="00385736" w:rsidRPr="0048707C" w:rsidRDefault="00385736" w:rsidP="00385736">
      <w:pPr>
        <w:pStyle w:val="ListParagraph"/>
        <w:numPr>
          <w:ilvl w:val="3"/>
          <w:numId w:val="20"/>
        </w:numPr>
        <w:tabs>
          <w:tab w:val="left" w:pos="1440"/>
        </w:tabs>
        <w:spacing w:after="180"/>
        <w:rPr>
          <w:rFonts w:eastAsia="MS Mincho"/>
        </w:rPr>
      </w:pPr>
      <w:r w:rsidRPr="0048707C">
        <w:rPr>
          <w:rFonts w:eastAsia="MS Mincho"/>
        </w:rPr>
        <w:t xml:space="preserve">If there are two or more UL carriers, the power scaling or </w:t>
      </w:r>
      <w:proofErr w:type="spellStart"/>
      <w:r w:rsidRPr="0048707C">
        <w:rPr>
          <w:rFonts w:eastAsia="MS Mincho"/>
        </w:rPr>
        <w:t>tx</w:t>
      </w:r>
      <w:proofErr w:type="spellEnd"/>
      <w:r w:rsidRPr="0048707C">
        <w:rPr>
          <w:rFonts w:eastAsia="MS Mincho"/>
        </w:rPr>
        <w:t xml:space="preserve"> dropping can be performed for each of the UL carriers separately or jointly up to UE implementation</w:t>
      </w:r>
    </w:p>
    <w:p w14:paraId="7CE40F67" w14:textId="77777777" w:rsidR="00385736" w:rsidRPr="0048707C" w:rsidRDefault="00385736" w:rsidP="00385736">
      <w:pPr>
        <w:pStyle w:val="ListParagraph"/>
        <w:numPr>
          <w:ilvl w:val="2"/>
          <w:numId w:val="20"/>
        </w:numPr>
        <w:tabs>
          <w:tab w:val="left" w:pos="1440"/>
        </w:tabs>
        <w:spacing w:after="180"/>
        <w:rPr>
          <w:rFonts w:eastAsia="MS Mincho"/>
        </w:rPr>
      </w:pPr>
      <w:r w:rsidRPr="0048707C">
        <w:rPr>
          <w:rFonts w:eastAsia="MS Mincho"/>
        </w:rPr>
        <w:lastRenderedPageBreak/>
        <w:t>For LTE, no change in power control procedure</w:t>
      </w:r>
    </w:p>
    <w:p w14:paraId="542FE205"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 xml:space="preserve">FFS the case when DL/UL LTE </w:t>
      </w:r>
      <w:proofErr w:type="spellStart"/>
      <w:r w:rsidRPr="0048707C">
        <w:rPr>
          <w:rFonts w:eastAsia="MS Mincho"/>
        </w:rPr>
        <w:t>sTTI</w:t>
      </w:r>
      <w:proofErr w:type="spellEnd"/>
      <w:r w:rsidRPr="0048707C">
        <w:rPr>
          <w:rFonts w:eastAsia="MS Mincho"/>
        </w:rPr>
        <w:t>/reduced UE processing time based operation is configured for the UE</w:t>
      </w:r>
    </w:p>
    <w:p w14:paraId="4BFEC08B" w14:textId="77777777" w:rsidR="00385736" w:rsidRPr="0048707C" w:rsidRDefault="00385736" w:rsidP="00385736">
      <w:pPr>
        <w:pStyle w:val="ListParagraph"/>
        <w:numPr>
          <w:ilvl w:val="1"/>
          <w:numId w:val="20"/>
        </w:numPr>
        <w:tabs>
          <w:tab w:val="left" w:pos="1440"/>
        </w:tabs>
        <w:spacing w:after="180"/>
        <w:rPr>
          <w:rFonts w:eastAsia="MS Mincho"/>
        </w:rPr>
      </w:pPr>
      <w:r w:rsidRPr="0048707C">
        <w:rPr>
          <w:rFonts w:eastAsia="MS Mincho"/>
        </w:rPr>
        <w:t>The following is FFS</w:t>
      </w:r>
    </w:p>
    <w:p w14:paraId="072D6F76" w14:textId="77777777" w:rsidR="00385736" w:rsidRPr="0048707C" w:rsidRDefault="00385736" w:rsidP="00385736">
      <w:pPr>
        <w:pStyle w:val="ListParagraph"/>
        <w:numPr>
          <w:ilvl w:val="2"/>
          <w:numId w:val="20"/>
        </w:numPr>
        <w:tabs>
          <w:tab w:val="left" w:pos="1440"/>
        </w:tabs>
        <w:spacing w:after="180"/>
        <w:rPr>
          <w:rFonts w:eastAsia="MS Mincho"/>
        </w:rPr>
      </w:pPr>
      <w:r w:rsidRPr="0048707C">
        <w:rPr>
          <w:rFonts w:eastAsia="MS Mincho"/>
        </w:rPr>
        <w:t xml:space="preserve">The case when P_NR is configured such that P_NR &lt; </w:t>
      </w:r>
      <w:proofErr w:type="spellStart"/>
      <w:r w:rsidRPr="0048707C">
        <w:rPr>
          <w:rFonts w:eastAsia="MS Mincho"/>
        </w:rPr>
        <w:t>P_cmax</w:t>
      </w:r>
      <w:proofErr w:type="spellEnd"/>
      <w:r w:rsidRPr="0048707C">
        <w:rPr>
          <w:rFonts w:eastAsia="MS Mincho"/>
        </w:rPr>
        <w:t xml:space="preserve">, and UE can use power up to </w:t>
      </w:r>
      <w:proofErr w:type="spellStart"/>
      <w:r w:rsidRPr="0048707C">
        <w:rPr>
          <w:rFonts w:eastAsia="MS Mincho"/>
        </w:rPr>
        <w:t>P_cmax</w:t>
      </w:r>
      <w:proofErr w:type="spellEnd"/>
      <w:r w:rsidRPr="0048707C">
        <w:rPr>
          <w:rFonts w:eastAsia="MS Mincho"/>
        </w:rPr>
        <w:t xml:space="preserve"> in NR when it knows that there will be no UL transmission in LTE by semi-static configuration (e.g., measurement gap, DL/UL configuration)</w:t>
      </w:r>
    </w:p>
    <w:p w14:paraId="7519C8F9" w14:textId="77777777" w:rsidR="00385736" w:rsidRDefault="00385736" w:rsidP="00385736">
      <w:r>
        <w:t>According to above agreements, the two power control modes (i.e., power control Mode 1 and Mode 2) in LTE-LTE DC are not applied for LTE-NR DC in Rel-15 considering implementation and standardization complexity (e.g. [2]). Instead, the two new parameters P_LTE and P_NR are added to define the maximum allowed power values for LTE-NR DC. The p-</w:t>
      </w:r>
      <w:proofErr w:type="spellStart"/>
      <w:r>
        <w:t>MeNB</w:t>
      </w:r>
      <w:proofErr w:type="spellEnd"/>
      <w:r>
        <w:t>, p-</w:t>
      </w:r>
      <w:proofErr w:type="spellStart"/>
      <w:r>
        <w:t>SeNB</w:t>
      </w:r>
      <w:proofErr w:type="spellEnd"/>
      <w:r>
        <w:t xml:space="preserve"> parameters used for LTE-LTE DC are defined as ‘guaranteed power’, while P_LTE and P_NR in current agreement are maximum allowed power values. Since they are not exactly same, therefore the LTE-LTE DC power control parameters cannot be reused for LTE-NR DC. </w:t>
      </w:r>
    </w:p>
    <w:p w14:paraId="793FE0C1" w14:textId="77777777" w:rsidR="00385736" w:rsidRPr="00EB1038" w:rsidRDefault="00385736" w:rsidP="00EB1038">
      <w:pPr>
        <w:pStyle w:val="Observation"/>
      </w:pPr>
      <w:bookmarkStart w:id="2" w:name="_Toc489873633"/>
      <w:bookmarkStart w:id="3" w:name="_Toc489988168"/>
      <w:bookmarkStart w:id="4" w:name="_Toc490048808"/>
      <w:bookmarkStart w:id="5" w:name="_Toc490217813"/>
      <w:bookmarkStart w:id="6" w:name="_Toc494178896"/>
      <w:bookmarkStart w:id="7" w:name="_Toc494270891"/>
      <w:bookmarkStart w:id="8" w:name="_Toc494357696"/>
      <w:bookmarkStart w:id="9" w:name="_Toc494399608"/>
      <w:bookmarkStart w:id="10" w:name="_Toc497120451"/>
      <w:r w:rsidRPr="00EB1038">
        <w:t>Two power control modes used for LTE DC</w:t>
      </w:r>
      <w:bookmarkEnd w:id="2"/>
      <w:bookmarkEnd w:id="3"/>
      <w:bookmarkEnd w:id="4"/>
      <w:r w:rsidRPr="00EB1038">
        <w:t xml:space="preserve"> is not supported for LTE-NR DC in Rel-15.</w:t>
      </w:r>
      <w:bookmarkEnd w:id="5"/>
      <w:bookmarkEnd w:id="6"/>
      <w:bookmarkEnd w:id="7"/>
      <w:bookmarkEnd w:id="8"/>
      <w:bookmarkEnd w:id="9"/>
      <w:bookmarkEnd w:id="10"/>
    </w:p>
    <w:p w14:paraId="229E4653" w14:textId="77777777" w:rsidR="00385736" w:rsidRDefault="00385736" w:rsidP="00385736">
      <w:r>
        <w:t xml:space="preserve">It is reasonable to introduce new parameters in RRC for P_LTE and P_NR. This is also motivated by an incoming RAN1 </w:t>
      </w:r>
      <w:r w:rsidRPr="00AA56E7">
        <w:t>LS R1-1715313.</w:t>
      </w:r>
    </w:p>
    <w:p w14:paraId="2CFC9B85" w14:textId="77777777" w:rsidR="00385736" w:rsidRPr="00EB1038" w:rsidRDefault="00385736" w:rsidP="00EB1038">
      <w:pPr>
        <w:pStyle w:val="Proposal"/>
      </w:pPr>
      <w:bookmarkStart w:id="11" w:name="_Toc494270885"/>
      <w:bookmarkStart w:id="12" w:name="_Toc494271188"/>
      <w:bookmarkStart w:id="13" w:name="_Toc494412240"/>
      <w:bookmarkStart w:id="14" w:name="_Toc497120478"/>
      <w:bookmarkStart w:id="15" w:name="_Toc498620009"/>
      <w:bookmarkStart w:id="16" w:name="_Toc494271590"/>
      <w:bookmarkStart w:id="17" w:name="_Toc497912361"/>
      <w:r w:rsidRPr="00EB1038">
        <w:t xml:space="preserve">The RRC defines new parameters to support </w:t>
      </w:r>
      <w:bookmarkEnd w:id="11"/>
      <w:bookmarkEnd w:id="12"/>
      <w:r w:rsidRPr="00EB1038">
        <w:t>power sharing between LTE leg and NR leg via P_LTE and P_NR as current RAN1 agreement.</w:t>
      </w:r>
      <w:bookmarkEnd w:id="13"/>
      <w:bookmarkEnd w:id="14"/>
      <w:bookmarkEnd w:id="15"/>
      <w:r w:rsidRPr="00EB1038">
        <w:t xml:space="preserve"> </w:t>
      </w:r>
      <w:bookmarkEnd w:id="16"/>
      <w:bookmarkEnd w:id="17"/>
    </w:p>
    <w:p w14:paraId="7265464E" w14:textId="7874BE2A" w:rsidR="00E90D1D" w:rsidRDefault="00E90D1D" w:rsidP="00EB1038">
      <w:pPr>
        <w:pStyle w:val="Heading2"/>
      </w:pPr>
      <w:r>
        <w:t>Power control processes</w:t>
      </w:r>
    </w:p>
    <w:p w14:paraId="27E592DD" w14:textId="674C3A4B" w:rsidR="00385736" w:rsidRDefault="00571BD5" w:rsidP="00AA5A8E">
      <w:pPr>
        <w:rPr>
          <w:rFonts w:cs="Arial"/>
        </w:rPr>
      </w:pPr>
      <w:r w:rsidRPr="00B7606B">
        <w:rPr>
          <w:rFonts w:cs="Arial"/>
        </w:rPr>
        <w:t xml:space="preserve">In RAN1-90bis, up to two closed loop power control processes for PUSCH </w:t>
      </w:r>
      <w:r w:rsidR="00B7606B">
        <w:rPr>
          <w:rFonts w:cs="Arial"/>
        </w:rPr>
        <w:t xml:space="preserve">in one serving cell </w:t>
      </w:r>
      <w:r w:rsidRPr="00B7606B">
        <w:rPr>
          <w:rFonts w:cs="Arial"/>
        </w:rPr>
        <w:t xml:space="preserve">was agreed. </w:t>
      </w:r>
      <w:r w:rsidR="00AA5A8E">
        <w:rPr>
          <w:rFonts w:cs="Arial"/>
        </w:rPr>
        <w:t>For a NR cell with supplementary uplink (SUL) carrier, where one NR cell can have an NR UL carrier and a SUL carrier, the power control process can be per UL carrier. There could be other application scenarios such as logical channel specific</w:t>
      </w:r>
      <w:r w:rsidR="0069484A">
        <w:rPr>
          <w:rFonts w:cs="Arial"/>
        </w:rPr>
        <w:t xml:space="preserve"> (i.e. service specific)</w:t>
      </w:r>
      <w:r w:rsidR="00AA5A8E">
        <w:rPr>
          <w:rFonts w:cs="Arial"/>
        </w:rPr>
        <w:t xml:space="preserve"> power control</w:t>
      </w:r>
      <w:r w:rsidR="0069484A">
        <w:rPr>
          <w:rFonts w:cs="Arial"/>
        </w:rPr>
        <w:t>, grant type specific (dynamic grant or semi-static grant) power control</w:t>
      </w:r>
      <w:r w:rsidR="00AA5A8E">
        <w:rPr>
          <w:rFonts w:cs="Arial"/>
        </w:rPr>
        <w:t>,</w:t>
      </w:r>
      <w:r w:rsidR="00AB18D6">
        <w:rPr>
          <w:rFonts w:cs="Arial"/>
        </w:rPr>
        <w:t xml:space="preserve"> slot set specific power control,</w:t>
      </w:r>
      <w:r w:rsidR="00AA5A8E">
        <w:rPr>
          <w:rFonts w:cs="Arial"/>
        </w:rPr>
        <w:t xml:space="preserve"> </w:t>
      </w:r>
      <w:r w:rsidR="0069484A">
        <w:rPr>
          <w:rFonts w:cs="Arial"/>
        </w:rPr>
        <w:t>which are</w:t>
      </w:r>
      <w:r w:rsidR="00AA5A8E">
        <w:rPr>
          <w:rFonts w:cs="Arial"/>
        </w:rPr>
        <w:t xml:space="preserve"> still being discussed in RAN1.</w:t>
      </w:r>
    </w:p>
    <w:p w14:paraId="5D03C0B7" w14:textId="0310D94D" w:rsidR="00B7606B" w:rsidRPr="00B7606B" w:rsidRDefault="00B7606B" w:rsidP="00B7606B">
      <w:pPr>
        <w:rPr>
          <w:rFonts w:cs="Arial"/>
        </w:rPr>
      </w:pPr>
      <w:r>
        <w:rPr>
          <w:rFonts w:cs="Arial"/>
        </w:rPr>
        <w:t xml:space="preserve">The power control parameters such as P0, alfa can be configured per </w:t>
      </w:r>
      <w:r w:rsidR="0076191F">
        <w:rPr>
          <w:rFonts w:cs="Arial"/>
        </w:rPr>
        <w:t xml:space="preserve">closed loop power control </w:t>
      </w:r>
      <w:r>
        <w:rPr>
          <w:rFonts w:cs="Arial"/>
        </w:rPr>
        <w:t>process and the TPC commands are processe</w:t>
      </w:r>
      <w:r w:rsidR="0076191F">
        <w:rPr>
          <w:rFonts w:cs="Arial"/>
        </w:rPr>
        <w:t>d</w:t>
      </w:r>
      <w:r>
        <w:rPr>
          <w:rFonts w:cs="Arial"/>
        </w:rPr>
        <w:t xml:space="preserve"> separately per </w:t>
      </w:r>
      <w:r w:rsidR="0076191F">
        <w:rPr>
          <w:rFonts w:cs="Arial"/>
        </w:rPr>
        <w:t xml:space="preserve">closed loop power control </w:t>
      </w:r>
      <w:r>
        <w:rPr>
          <w:rFonts w:cs="Arial"/>
        </w:rPr>
        <w:t>process.</w:t>
      </w:r>
      <w:r w:rsidR="003F4DA0">
        <w:rPr>
          <w:rFonts w:cs="Arial"/>
        </w:rPr>
        <w:t xml:space="preserve"> RRC signalling </w:t>
      </w:r>
      <w:r w:rsidR="0069484A">
        <w:rPr>
          <w:rFonts w:cs="Arial"/>
        </w:rPr>
        <w:t>should</w:t>
      </w:r>
      <w:r w:rsidR="003F4DA0">
        <w:rPr>
          <w:rFonts w:cs="Arial"/>
        </w:rPr>
        <w:t xml:space="preserve"> be defined to configure the</w:t>
      </w:r>
      <w:r w:rsidR="001B74AB">
        <w:rPr>
          <w:rFonts w:cs="Arial"/>
        </w:rPr>
        <w:t xml:space="preserve"> closed loop</w:t>
      </w:r>
      <w:r w:rsidR="003F4DA0">
        <w:rPr>
          <w:rFonts w:cs="Arial"/>
        </w:rPr>
        <w:t xml:space="preserve"> power control processes </w:t>
      </w:r>
      <w:r w:rsidR="008D484C">
        <w:rPr>
          <w:rFonts w:cs="Arial"/>
        </w:rPr>
        <w:t>to support the agreed cases</w:t>
      </w:r>
      <w:r w:rsidR="003F4DA0">
        <w:rPr>
          <w:rFonts w:cs="Arial"/>
        </w:rPr>
        <w:t>.</w:t>
      </w:r>
    </w:p>
    <w:p w14:paraId="6C102A74" w14:textId="1DD7E275" w:rsidR="00B7606B" w:rsidRPr="00AA56E7" w:rsidRDefault="00B7606B" w:rsidP="00EB1038">
      <w:pPr>
        <w:pStyle w:val="Proposal"/>
      </w:pPr>
      <w:bookmarkStart w:id="18" w:name="_Toc497120479"/>
      <w:bookmarkStart w:id="19" w:name="_Toc497912362"/>
      <w:bookmarkStart w:id="20" w:name="_Toc498620010"/>
      <w:r>
        <w:t>The RRC defines new parameters to support up to two closed loop power control processes in one cell.</w:t>
      </w:r>
      <w:bookmarkEnd w:id="18"/>
      <w:bookmarkEnd w:id="19"/>
      <w:bookmarkEnd w:id="20"/>
      <w:r>
        <w:t xml:space="preserve"> </w:t>
      </w:r>
    </w:p>
    <w:p w14:paraId="320A7B8D" w14:textId="7DBAE7F3" w:rsidR="00385736" w:rsidRDefault="00385736" w:rsidP="00385736">
      <w:pPr>
        <w:pStyle w:val="Heading2"/>
        <w:rPr>
          <w:rFonts w:eastAsia="MS Mincho"/>
          <w:lang w:val="en-US"/>
        </w:rPr>
      </w:pPr>
      <w:r>
        <w:rPr>
          <w:rFonts w:eastAsia="MS Mincho"/>
          <w:lang w:val="en-US"/>
        </w:rPr>
        <w:t>Service type specific power control</w:t>
      </w:r>
    </w:p>
    <w:p w14:paraId="5732ABC9" w14:textId="70E25AFA" w:rsidR="00385736" w:rsidRDefault="00385736" w:rsidP="00385736">
      <w:pPr>
        <w:rPr>
          <w:rFonts w:eastAsia="MS Mincho"/>
        </w:rPr>
      </w:pPr>
      <w:r>
        <w:rPr>
          <w:rFonts w:eastAsia="MS Mincho"/>
        </w:rPr>
        <w:t xml:space="preserve">Regarding the service type specific power control, i.e., different services (strictly speaking, different logical channels) may use different power control </w:t>
      </w:r>
      <w:r w:rsidR="00546565">
        <w:rPr>
          <w:rFonts w:eastAsia="MS Mincho"/>
        </w:rPr>
        <w:t>process</w:t>
      </w:r>
      <w:r>
        <w:rPr>
          <w:rFonts w:eastAsia="MS Mincho"/>
        </w:rPr>
        <w:t xml:space="preserve">, the relevant discussions are still on-going in RAN1. We believe it is beneficial to apply a different power control </w:t>
      </w:r>
      <w:r w:rsidR="00546565">
        <w:rPr>
          <w:rFonts w:eastAsia="MS Mincho"/>
        </w:rPr>
        <w:t xml:space="preserve">process </w:t>
      </w:r>
      <w:r>
        <w:rPr>
          <w:rFonts w:eastAsia="MS Mincho"/>
        </w:rPr>
        <w:t xml:space="preserve">for URLLC like traffic compared to that for </w:t>
      </w:r>
      <w:proofErr w:type="spellStart"/>
      <w:r>
        <w:rPr>
          <w:rFonts w:eastAsia="MS Mincho"/>
        </w:rPr>
        <w:t>eMBB</w:t>
      </w:r>
      <w:proofErr w:type="spellEnd"/>
      <w:r>
        <w:rPr>
          <w:rFonts w:eastAsia="MS Mincho"/>
        </w:rPr>
        <w:t xml:space="preserve"> as it is a way to increase reliability without adding e.g. latency. The MAC and PHY should be service type agnostic from the design perspective. Therefore, it is sufficient for the UE MAC to inform the PHY of the LCH ID if the service type specific power control is agreed by RAN1.  </w:t>
      </w:r>
    </w:p>
    <w:p w14:paraId="4DF51682" w14:textId="77777777" w:rsidR="00385736" w:rsidRPr="00C17349" w:rsidRDefault="00385736" w:rsidP="00EB1038">
      <w:pPr>
        <w:pStyle w:val="Proposal"/>
      </w:pPr>
      <w:bookmarkStart w:id="21" w:name="_Toc494270887"/>
      <w:bookmarkStart w:id="22" w:name="_Toc494271190"/>
      <w:bookmarkStart w:id="23" w:name="_Toc494271592"/>
      <w:bookmarkStart w:id="24" w:name="_Toc494412242"/>
      <w:bookmarkStart w:id="25" w:name="_Toc497120480"/>
      <w:bookmarkStart w:id="26" w:name="_Toc497912364"/>
      <w:bookmarkStart w:id="27" w:name="_Toc498620011"/>
      <w:r>
        <w:t>If "service specific power control" is agreed in RAN1, then upon transmission of a MAC PDU on UL-SCH, the MAC entity signals the logical channel ID(s) of the MAC PDU to PHY</w:t>
      </w:r>
      <w:r w:rsidRPr="00C17349">
        <w:t>.</w:t>
      </w:r>
      <w:bookmarkEnd w:id="21"/>
      <w:bookmarkEnd w:id="22"/>
      <w:bookmarkEnd w:id="23"/>
      <w:bookmarkEnd w:id="24"/>
      <w:bookmarkEnd w:id="25"/>
      <w:bookmarkEnd w:id="26"/>
      <w:bookmarkEnd w:id="27"/>
      <w:r w:rsidRPr="00C17349">
        <w:t xml:space="preserve"> </w:t>
      </w:r>
    </w:p>
    <w:p w14:paraId="606850A1" w14:textId="77777777" w:rsidR="00C01F33" w:rsidRPr="00CE0424" w:rsidRDefault="00C01F33" w:rsidP="00CE0424">
      <w:pPr>
        <w:pStyle w:val="Heading1"/>
      </w:pPr>
      <w:bookmarkStart w:id="28" w:name="_Toc489306319"/>
      <w:bookmarkStart w:id="29" w:name="_Toc487550690"/>
      <w:bookmarkStart w:id="30" w:name="_Toc488074729"/>
      <w:bookmarkStart w:id="31" w:name="_Toc488074730"/>
      <w:bookmarkStart w:id="32" w:name="_Toc489306321"/>
      <w:bookmarkStart w:id="33" w:name="_Toc488074657"/>
      <w:bookmarkEnd w:id="28"/>
      <w:bookmarkEnd w:id="29"/>
      <w:bookmarkEnd w:id="30"/>
      <w:bookmarkEnd w:id="31"/>
      <w:bookmarkEnd w:id="32"/>
      <w:bookmarkEnd w:id="33"/>
      <w:r w:rsidRPr="00CE0424">
        <w:t>Conclusion</w:t>
      </w:r>
    </w:p>
    <w:p w14:paraId="01BE12C1" w14:textId="77777777" w:rsidR="000A247E"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5563">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1643465620"/>
        <w:docPartObj>
          <w:docPartGallery w:val="Table of Contents"/>
          <w:docPartUnique/>
        </w:docPartObj>
      </w:sdtPr>
      <w:sdtEndPr>
        <w:rPr>
          <w:b/>
        </w:rPr>
      </w:sdtEndPr>
      <w:sdtContent>
        <w:p w14:paraId="269327C1" w14:textId="312D469E" w:rsidR="00EB1038" w:rsidRDefault="00EB1038">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8619994" w:history="1">
            <w:r w:rsidRPr="00637435">
              <w:rPr>
                <w:rStyle w:val="Hyperlink"/>
              </w:rPr>
              <w:t>Observation 1</w:t>
            </w:r>
            <w:r>
              <w:rPr>
                <w:rFonts w:asciiTheme="minorHAnsi" w:eastAsiaTheme="minorEastAsia" w:hAnsiTheme="minorHAnsi" w:cstheme="minorBidi"/>
                <w:b w:val="0"/>
                <w:sz w:val="22"/>
                <w:lang w:val="sv-SE"/>
              </w:rPr>
              <w:tab/>
            </w:r>
            <w:r w:rsidRPr="00637435">
              <w:rPr>
                <w:rStyle w:val="Hyperlink"/>
              </w:rPr>
              <w:t>Two power control modes used for LTE DC is not supported for LTE-NR DC in Rel-15.</w:t>
            </w:r>
          </w:hyperlink>
        </w:p>
        <w:p w14:paraId="388A7335" w14:textId="7668E530" w:rsidR="00EB1038" w:rsidRDefault="00EB1038" w:rsidP="008E065E">
          <w:pPr>
            <w:pStyle w:val="BodyText"/>
          </w:pPr>
          <w:r>
            <w:rPr>
              <w:b/>
            </w:rPr>
            <w:fldChar w:fldCharType="end"/>
          </w:r>
        </w:p>
      </w:sdtContent>
    </w:sdt>
    <w:p w14:paraId="413D340A" w14:textId="47B2FC6B" w:rsidR="000A247E" w:rsidRDefault="008E065E" w:rsidP="008E065E">
      <w:pPr>
        <w:pStyle w:val="BodyText"/>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5563">
        <w:t>2</w:t>
      </w:r>
      <w:r w:rsidRPr="00CE0424">
        <w:rPr>
          <w:highlight w:val="cyan"/>
        </w:rPr>
        <w:fldChar w:fldCharType="end"/>
      </w:r>
      <w:r w:rsidRPr="00CE0424">
        <w:t xml:space="preserve"> we propose the following:</w:t>
      </w:r>
    </w:p>
    <w:sdt>
      <w:sdtPr>
        <w:rPr>
          <w:b w:val="0"/>
          <w:noProof w:val="0"/>
          <w:szCs w:val="20"/>
          <w:lang w:val="en-GB"/>
        </w:rPr>
        <w:id w:val="488289833"/>
        <w:docPartObj>
          <w:docPartGallery w:val="Table of Contents"/>
          <w:docPartUnique/>
        </w:docPartObj>
      </w:sdtPr>
      <w:sdtEndPr>
        <w:rPr>
          <w:b/>
        </w:rPr>
      </w:sdtEndPr>
      <w:sdtContent>
        <w:p w14:paraId="24FFF9D1" w14:textId="035C7F53" w:rsidR="00EB1038" w:rsidRDefault="00EB1038">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8620009" w:history="1">
            <w:r w:rsidRPr="00BA2C1C">
              <w:rPr>
                <w:rStyle w:val="Hyperlink"/>
              </w:rPr>
              <w:t>Proposal 1</w:t>
            </w:r>
            <w:r>
              <w:rPr>
                <w:rFonts w:asciiTheme="minorHAnsi" w:eastAsiaTheme="minorEastAsia" w:hAnsiTheme="minorHAnsi" w:cstheme="minorBidi"/>
                <w:b w:val="0"/>
                <w:sz w:val="22"/>
                <w:lang w:val="sv-SE"/>
              </w:rPr>
              <w:tab/>
            </w:r>
            <w:r w:rsidRPr="00BA2C1C">
              <w:rPr>
                <w:rStyle w:val="Hyperlink"/>
              </w:rPr>
              <w:t>The RRC defines new parameters to support power sharing between LTE leg and NR leg via P_LTE and P_NR as current RAN1 agreement.</w:t>
            </w:r>
          </w:hyperlink>
        </w:p>
        <w:p w14:paraId="0B1F7E87" w14:textId="2E5E4A37" w:rsidR="00EB1038" w:rsidRDefault="00531302">
          <w:pPr>
            <w:pStyle w:val="TOC1"/>
            <w:rPr>
              <w:rFonts w:asciiTheme="minorHAnsi" w:eastAsiaTheme="minorEastAsia" w:hAnsiTheme="minorHAnsi" w:cstheme="minorBidi"/>
              <w:b w:val="0"/>
              <w:sz w:val="22"/>
              <w:lang w:val="sv-SE"/>
            </w:rPr>
          </w:pPr>
          <w:hyperlink w:anchor="_Toc498620010" w:history="1">
            <w:r w:rsidR="00EB1038" w:rsidRPr="00BA2C1C">
              <w:rPr>
                <w:rStyle w:val="Hyperlink"/>
              </w:rPr>
              <w:t>Proposal 2</w:t>
            </w:r>
            <w:r w:rsidR="00EB1038">
              <w:rPr>
                <w:rFonts w:asciiTheme="minorHAnsi" w:eastAsiaTheme="minorEastAsia" w:hAnsiTheme="minorHAnsi" w:cstheme="minorBidi"/>
                <w:b w:val="0"/>
                <w:sz w:val="22"/>
                <w:lang w:val="sv-SE"/>
              </w:rPr>
              <w:tab/>
            </w:r>
            <w:r w:rsidR="00EB1038" w:rsidRPr="00BA2C1C">
              <w:rPr>
                <w:rStyle w:val="Hyperlink"/>
              </w:rPr>
              <w:t>The RRC defines new parameters to support up to two closed loop power control processes in one cell.</w:t>
            </w:r>
          </w:hyperlink>
        </w:p>
        <w:p w14:paraId="5245ABFA" w14:textId="4D2C077F" w:rsidR="00EB1038" w:rsidRDefault="00531302">
          <w:pPr>
            <w:pStyle w:val="TOC1"/>
            <w:rPr>
              <w:rFonts w:asciiTheme="minorHAnsi" w:eastAsiaTheme="minorEastAsia" w:hAnsiTheme="minorHAnsi" w:cstheme="minorBidi"/>
              <w:b w:val="0"/>
              <w:sz w:val="22"/>
              <w:lang w:val="sv-SE"/>
            </w:rPr>
          </w:pPr>
          <w:hyperlink w:anchor="_Toc498620011" w:history="1">
            <w:r w:rsidR="00EB1038" w:rsidRPr="00BA2C1C">
              <w:rPr>
                <w:rStyle w:val="Hyperlink"/>
              </w:rPr>
              <w:t>Proposal 3</w:t>
            </w:r>
            <w:r w:rsidR="00EB1038">
              <w:rPr>
                <w:rFonts w:asciiTheme="minorHAnsi" w:eastAsiaTheme="minorEastAsia" w:hAnsiTheme="minorHAnsi" w:cstheme="minorBidi"/>
                <w:b w:val="0"/>
                <w:sz w:val="22"/>
                <w:lang w:val="sv-SE"/>
              </w:rPr>
              <w:tab/>
            </w:r>
            <w:r w:rsidR="00EB1038" w:rsidRPr="00BA2C1C">
              <w:rPr>
                <w:rStyle w:val="Hyperlink"/>
              </w:rPr>
              <w:t>If "service specific power control" is agreed in RAN1, then upon transmission of a MAC PDU on UL-SCH, the MAC entity signals the logical channel ID(s) of the MAC PDU to PHY.</w:t>
            </w:r>
          </w:hyperlink>
        </w:p>
        <w:p w14:paraId="330F5FB9" w14:textId="2D286FF9" w:rsidR="008E065E" w:rsidRPr="00CE0424" w:rsidRDefault="00EB1038" w:rsidP="008E065E">
          <w:pPr>
            <w:rPr>
              <w:b/>
              <w:bCs/>
            </w:rPr>
          </w:pPr>
          <w:r>
            <w:rPr>
              <w:b/>
            </w:rPr>
            <w:fldChar w:fldCharType="end"/>
          </w:r>
        </w:p>
      </w:sdtContent>
    </w:sdt>
    <w:p w14:paraId="5A9FCEEC" w14:textId="77777777" w:rsidR="00F507D1" w:rsidRPr="00CE0424" w:rsidRDefault="00F507D1" w:rsidP="00CE0424">
      <w:pPr>
        <w:pStyle w:val="Heading1"/>
      </w:pPr>
      <w:bookmarkStart w:id="34" w:name="_In-sequence_SDU_delivery"/>
      <w:bookmarkEnd w:id="34"/>
      <w:r w:rsidRPr="00CE0424">
        <w:t>References</w:t>
      </w:r>
    </w:p>
    <w:p w14:paraId="52DE16F1" w14:textId="77777777" w:rsidR="00104DDB" w:rsidRDefault="00104DDB" w:rsidP="00104DDB">
      <w:pPr>
        <w:pStyle w:val="Reference"/>
        <w:overflowPunct/>
        <w:autoSpaceDE/>
        <w:autoSpaceDN/>
        <w:adjustRightInd/>
        <w:spacing w:after="200" w:line="276" w:lineRule="auto"/>
        <w:jc w:val="left"/>
        <w:textAlignment w:val="auto"/>
      </w:pPr>
      <w:r w:rsidRPr="00C039A2">
        <w:t xml:space="preserve">3GPP TS </w:t>
      </w:r>
      <w:r w:rsidRPr="00C039A2">
        <w:rPr>
          <w:lang w:eastAsia="ko-KR"/>
        </w:rPr>
        <w:t>38</w:t>
      </w:r>
      <w:r w:rsidRPr="00C039A2">
        <w:t>.</w:t>
      </w:r>
      <w:r w:rsidRPr="00C039A2">
        <w:rPr>
          <w:lang w:eastAsia="ko-KR"/>
        </w:rPr>
        <w:t>321</w:t>
      </w:r>
      <w:r w:rsidRPr="00C039A2">
        <w:t xml:space="preserve"> </w:t>
      </w:r>
      <w:r w:rsidRPr="00C027DE">
        <w:t>V</w:t>
      </w:r>
      <w:r w:rsidRPr="00C027DE">
        <w:rPr>
          <w:rFonts w:hint="eastAsia"/>
          <w:lang w:eastAsia="ko-KR"/>
        </w:rPr>
        <w:t>0</w:t>
      </w:r>
      <w:r w:rsidRPr="00C027DE">
        <w:t>.</w:t>
      </w:r>
      <w:r w:rsidRPr="00C027DE">
        <w:rPr>
          <w:rFonts w:hint="eastAsia"/>
          <w:lang w:eastAsia="ko-KR"/>
        </w:rPr>
        <w:t>1</w:t>
      </w:r>
      <w:r w:rsidRPr="00C027DE">
        <w:t>.</w:t>
      </w:r>
      <w:r w:rsidRPr="007C4A2F">
        <w:rPr>
          <w:rFonts w:hint="eastAsia"/>
          <w:lang w:eastAsia="ko-KR"/>
        </w:rPr>
        <w:t>1</w:t>
      </w:r>
    </w:p>
    <w:p w14:paraId="2D22EA3A" w14:textId="77777777" w:rsidR="00104DDB" w:rsidRPr="007C4A2F" w:rsidRDefault="00104DDB" w:rsidP="00104DDB">
      <w:pPr>
        <w:pStyle w:val="Reference"/>
        <w:overflowPunct/>
        <w:autoSpaceDE/>
        <w:autoSpaceDN/>
        <w:adjustRightInd/>
        <w:spacing w:after="200" w:line="276" w:lineRule="auto"/>
        <w:jc w:val="left"/>
        <w:textAlignment w:val="auto"/>
      </w:pPr>
      <w:r>
        <w:t>R1-1713478 – “</w:t>
      </w:r>
      <w:r w:rsidRPr="009B387C">
        <w:t>Power sharing for LTE-NR dual connectivity</w:t>
      </w:r>
      <w:r>
        <w:t>”, Qualcomm, 3GPP RAN1#90, Prague, Czech Republic, August 2017.</w:t>
      </w:r>
    </w:p>
    <w:p w14:paraId="1F2639FB"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78E4" w14:textId="77777777" w:rsidR="003B164D" w:rsidRDefault="003B164D">
      <w:r>
        <w:separator/>
      </w:r>
    </w:p>
  </w:endnote>
  <w:endnote w:type="continuationSeparator" w:id="0">
    <w:p w14:paraId="22146240" w14:textId="77777777" w:rsidR="003B164D" w:rsidRDefault="003B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B07C9" w14:textId="7F13D9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130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130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079C" w14:textId="77777777" w:rsidR="003B164D" w:rsidRDefault="003B164D">
      <w:r>
        <w:separator/>
      </w:r>
    </w:p>
  </w:footnote>
  <w:footnote w:type="continuationSeparator" w:id="0">
    <w:p w14:paraId="77E6A6EB" w14:textId="77777777" w:rsidR="003B164D" w:rsidRDefault="003B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CF39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8B6674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8E78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4DE4A3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87F72"/>
    <w:multiLevelType w:val="hybridMultilevel"/>
    <w:tmpl w:val="076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10F50"/>
    <w:multiLevelType w:val="hybridMultilevel"/>
    <w:tmpl w:val="58E0DA8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E01F85"/>
    <w:multiLevelType w:val="hybridMultilevel"/>
    <w:tmpl w:val="96A4B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2E18DA34"/>
    <w:lvl w:ilvl="0" w:tplc="88941B3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1A0465B8"/>
    <w:lvl w:ilvl="0" w:tplc="9E5A851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1"/>
  </w:num>
  <w:num w:numId="8">
    <w:abstractNumId w:val="14"/>
  </w:num>
  <w:num w:numId="9">
    <w:abstractNumId w:val="12"/>
  </w:num>
  <w:num w:numId="10">
    <w:abstractNumId w:val="3"/>
  </w:num>
  <w:num w:numId="11">
    <w:abstractNumId w:val="2"/>
  </w:num>
  <w:num w:numId="12">
    <w:abstractNumId w:val="1"/>
  </w:num>
  <w:num w:numId="13">
    <w:abstractNumId w:val="20"/>
  </w:num>
  <w:num w:numId="14">
    <w:abstractNumId w:val="0"/>
  </w:num>
  <w:num w:numId="15">
    <w:abstractNumId w:val="22"/>
  </w:num>
  <w:num w:numId="16">
    <w:abstractNumId w:val="11"/>
  </w:num>
  <w:num w:numId="17">
    <w:abstractNumId w:val="7"/>
  </w:num>
  <w:num w:numId="18">
    <w:abstractNumId w:val="8"/>
  </w:num>
  <w:num w:numId="19">
    <w:abstractNumId w:val="9"/>
  </w:num>
  <w:num w:numId="20">
    <w:abstractNumId w:val="10"/>
  </w:num>
  <w:num w:numId="21">
    <w:abstractNumId w:val="5"/>
  </w:num>
  <w:num w:numId="22">
    <w:abstractNumId w:val="19"/>
  </w:num>
  <w:num w:numId="23">
    <w:abstractNumId w:val="23"/>
  </w:num>
  <w:num w:numId="24">
    <w:abstractNumId w:val="6"/>
  </w:num>
  <w:num w:numId="25">
    <w:abstractNumId w:val="15"/>
  </w:num>
  <w:num w:numId="26">
    <w:abstractNumId w:val="15"/>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56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47E"/>
    <w:rsid w:val="000A56F2"/>
    <w:rsid w:val="000B2719"/>
    <w:rsid w:val="000B3A8F"/>
    <w:rsid w:val="000B4AB9"/>
    <w:rsid w:val="000B55A3"/>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6A0"/>
    <w:rsid w:val="00104DD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2F6"/>
    <w:rsid w:val="001659C1"/>
    <w:rsid w:val="00173A8E"/>
    <w:rsid w:val="00177795"/>
    <w:rsid w:val="0018143F"/>
    <w:rsid w:val="00190AC1"/>
    <w:rsid w:val="0019341A"/>
    <w:rsid w:val="00197DF9"/>
    <w:rsid w:val="001A1987"/>
    <w:rsid w:val="001A2564"/>
    <w:rsid w:val="001A6173"/>
    <w:rsid w:val="001A6CBA"/>
    <w:rsid w:val="001B0D97"/>
    <w:rsid w:val="001B5A5D"/>
    <w:rsid w:val="001B74AB"/>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F86"/>
    <w:rsid w:val="0028280A"/>
    <w:rsid w:val="00286ACD"/>
    <w:rsid w:val="00287838"/>
    <w:rsid w:val="002907B5"/>
    <w:rsid w:val="00292EB7"/>
    <w:rsid w:val="00296227"/>
    <w:rsid w:val="00296F44"/>
    <w:rsid w:val="0029777D"/>
    <w:rsid w:val="002A055E"/>
    <w:rsid w:val="002A1D4E"/>
    <w:rsid w:val="002A2869"/>
    <w:rsid w:val="002B24D6"/>
    <w:rsid w:val="002C1B58"/>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736"/>
    <w:rsid w:val="00385BF0"/>
    <w:rsid w:val="003939FF"/>
    <w:rsid w:val="003A2223"/>
    <w:rsid w:val="003A2A0F"/>
    <w:rsid w:val="003A45A1"/>
    <w:rsid w:val="003A5B0A"/>
    <w:rsid w:val="003A6BAC"/>
    <w:rsid w:val="003A7EF3"/>
    <w:rsid w:val="003B159C"/>
    <w:rsid w:val="003B164D"/>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DA0"/>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328"/>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3B5C"/>
    <w:rsid w:val="004E462E"/>
    <w:rsid w:val="004E56DC"/>
    <w:rsid w:val="004E76F4"/>
    <w:rsid w:val="004F0B4E"/>
    <w:rsid w:val="004F0B6C"/>
    <w:rsid w:val="004F2078"/>
    <w:rsid w:val="004F4DA3"/>
    <w:rsid w:val="00506557"/>
    <w:rsid w:val="0050677A"/>
    <w:rsid w:val="005108D8"/>
    <w:rsid w:val="005116F9"/>
    <w:rsid w:val="005153A7"/>
    <w:rsid w:val="00515563"/>
    <w:rsid w:val="005219CF"/>
    <w:rsid w:val="00531302"/>
    <w:rsid w:val="00534B59"/>
    <w:rsid w:val="00536759"/>
    <w:rsid w:val="00537C62"/>
    <w:rsid w:val="00546565"/>
    <w:rsid w:val="00546970"/>
    <w:rsid w:val="00554E19"/>
    <w:rsid w:val="0056121F"/>
    <w:rsid w:val="00571BD5"/>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84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91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4C"/>
    <w:rsid w:val="008D6D1A"/>
    <w:rsid w:val="008E065E"/>
    <w:rsid w:val="008E0927"/>
    <w:rsid w:val="008E1909"/>
    <w:rsid w:val="008F01C1"/>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09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6E8C"/>
    <w:rsid w:val="00AA016F"/>
    <w:rsid w:val="00AA1ED6"/>
    <w:rsid w:val="00AA51D6"/>
    <w:rsid w:val="00AA5A8E"/>
    <w:rsid w:val="00AB0BC8"/>
    <w:rsid w:val="00AB11CA"/>
    <w:rsid w:val="00AB14D9"/>
    <w:rsid w:val="00AB18D6"/>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606B"/>
    <w:rsid w:val="00B81A6C"/>
    <w:rsid w:val="00B85DE5"/>
    <w:rsid w:val="00B90F73"/>
    <w:rsid w:val="00B93B59"/>
    <w:rsid w:val="00B9406A"/>
    <w:rsid w:val="00BA2280"/>
    <w:rsid w:val="00BA2A08"/>
    <w:rsid w:val="00BA56D2"/>
    <w:rsid w:val="00BA76E0"/>
    <w:rsid w:val="00BB2A25"/>
    <w:rsid w:val="00BB51E9"/>
    <w:rsid w:val="00BB72E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1E01"/>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46D"/>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D1D"/>
    <w:rsid w:val="00E90E49"/>
    <w:rsid w:val="00E917F9"/>
    <w:rsid w:val="00E9291C"/>
    <w:rsid w:val="00E93FFE"/>
    <w:rsid w:val="00E94F8A"/>
    <w:rsid w:val="00EA7A41"/>
    <w:rsid w:val="00EB077B"/>
    <w:rsid w:val="00EB1038"/>
    <w:rsid w:val="00EB4EA2"/>
    <w:rsid w:val="00EB56A5"/>
    <w:rsid w:val="00EC27C6"/>
    <w:rsid w:val="00EC4207"/>
    <w:rsid w:val="00EC5653"/>
    <w:rsid w:val="00EC71CE"/>
    <w:rsid w:val="00ED1006"/>
    <w:rsid w:val="00EF18FE"/>
    <w:rsid w:val="00EF3D5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E6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E63DD00"/>
  <w15:chartTrackingRefBased/>
  <w15:docId w15:val="{10CD8BB9-4B7C-4DD5-A5E4-5D6ECF34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5A8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AA5A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AA5A8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A5A8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AA5A8E"/>
    <w:pPr>
      <w:numPr>
        <w:ilvl w:val="3"/>
      </w:numPr>
      <w:outlineLvl w:val="3"/>
    </w:pPr>
    <w:rPr>
      <w:sz w:val="24"/>
      <w:szCs w:val="24"/>
    </w:rPr>
  </w:style>
  <w:style w:type="paragraph" w:styleId="Heading5">
    <w:name w:val="heading 5"/>
    <w:basedOn w:val="Heading4"/>
    <w:next w:val="Normal"/>
    <w:qFormat/>
    <w:rsid w:val="00AA5A8E"/>
    <w:pPr>
      <w:numPr>
        <w:ilvl w:val="4"/>
      </w:numPr>
      <w:outlineLvl w:val="4"/>
    </w:pPr>
    <w:rPr>
      <w:sz w:val="22"/>
      <w:szCs w:val="22"/>
    </w:rPr>
  </w:style>
  <w:style w:type="paragraph" w:styleId="Heading6">
    <w:name w:val="heading 6"/>
    <w:basedOn w:val="Normal"/>
    <w:next w:val="Normal"/>
    <w:qFormat/>
    <w:rsid w:val="00AA5A8E"/>
    <w:pPr>
      <w:keepNext/>
      <w:keepLines/>
      <w:numPr>
        <w:ilvl w:val="5"/>
        <w:numId w:val="1"/>
      </w:numPr>
      <w:spacing w:before="120"/>
      <w:outlineLvl w:val="5"/>
    </w:pPr>
    <w:rPr>
      <w:rFonts w:cs="Arial"/>
    </w:rPr>
  </w:style>
  <w:style w:type="paragraph" w:styleId="Heading7">
    <w:name w:val="heading 7"/>
    <w:basedOn w:val="Normal"/>
    <w:next w:val="Normal"/>
    <w:qFormat/>
    <w:rsid w:val="00AA5A8E"/>
    <w:pPr>
      <w:keepNext/>
      <w:keepLines/>
      <w:numPr>
        <w:ilvl w:val="6"/>
        <w:numId w:val="1"/>
      </w:numPr>
      <w:spacing w:before="120"/>
      <w:outlineLvl w:val="6"/>
    </w:pPr>
    <w:rPr>
      <w:rFonts w:cs="Arial"/>
    </w:rPr>
  </w:style>
  <w:style w:type="paragraph" w:styleId="Heading8">
    <w:name w:val="heading 8"/>
    <w:basedOn w:val="Heading7"/>
    <w:next w:val="Normal"/>
    <w:qFormat/>
    <w:rsid w:val="00AA5A8E"/>
    <w:pPr>
      <w:numPr>
        <w:ilvl w:val="7"/>
      </w:numPr>
      <w:outlineLvl w:val="7"/>
    </w:pPr>
  </w:style>
  <w:style w:type="paragraph" w:styleId="Heading9">
    <w:name w:val="heading 9"/>
    <w:basedOn w:val="Heading8"/>
    <w:next w:val="Normal"/>
    <w:qFormat/>
    <w:rsid w:val="00AA5A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5A8E"/>
    <w:pPr>
      <w:spacing w:before="180"/>
      <w:ind w:left="2693" w:hanging="2693"/>
    </w:pPr>
    <w:rPr>
      <w:b w:val="0"/>
      <w:bCs/>
    </w:rPr>
  </w:style>
  <w:style w:type="paragraph" w:styleId="TOC1">
    <w:name w:val="toc 1"/>
    <w:aliases w:val="Observation TOC2"/>
    <w:uiPriority w:val="39"/>
    <w:rsid w:val="00AA5A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5A8E"/>
    <w:pPr>
      <w:keepNext/>
      <w:keepLines/>
      <w:spacing w:before="180"/>
      <w:jc w:val="center"/>
    </w:pPr>
  </w:style>
  <w:style w:type="paragraph" w:styleId="Caption">
    <w:name w:val="caption"/>
    <w:basedOn w:val="Normal"/>
    <w:next w:val="Normal"/>
    <w:qFormat/>
    <w:rsid w:val="00AA5A8E"/>
    <w:pPr>
      <w:spacing w:after="240"/>
      <w:jc w:val="center"/>
    </w:pPr>
    <w:rPr>
      <w:b/>
      <w:bCs/>
    </w:rPr>
  </w:style>
  <w:style w:type="paragraph" w:styleId="TOC5">
    <w:name w:val="toc 5"/>
    <w:aliases w:val="Observation TOC"/>
    <w:basedOn w:val="TOC4"/>
    <w:semiHidden/>
    <w:rsid w:val="00AA5A8E"/>
    <w:pPr>
      <w:tabs>
        <w:tab w:val="right" w:pos="1701"/>
      </w:tabs>
      <w:ind w:left="1701" w:hanging="1701"/>
    </w:pPr>
  </w:style>
  <w:style w:type="paragraph" w:styleId="TOC4">
    <w:name w:val="toc 4"/>
    <w:basedOn w:val="TOC3"/>
    <w:semiHidden/>
    <w:rsid w:val="00AA5A8E"/>
    <w:pPr>
      <w:ind w:left="1418" w:hanging="1418"/>
    </w:pPr>
  </w:style>
  <w:style w:type="paragraph" w:styleId="TOC3">
    <w:name w:val="toc 3"/>
    <w:basedOn w:val="TOC2"/>
    <w:semiHidden/>
    <w:rsid w:val="00AA5A8E"/>
    <w:pPr>
      <w:ind w:left="1134" w:hanging="1134"/>
    </w:pPr>
  </w:style>
  <w:style w:type="paragraph" w:styleId="TOC2">
    <w:name w:val="toc 2"/>
    <w:basedOn w:val="TOC1"/>
    <w:semiHidden/>
    <w:rsid w:val="00AA5A8E"/>
    <w:pPr>
      <w:keepNext w:val="0"/>
      <w:spacing w:before="0"/>
      <w:ind w:left="851" w:hanging="851"/>
    </w:pPr>
    <w:rPr>
      <w:szCs w:val="20"/>
    </w:rPr>
  </w:style>
  <w:style w:type="paragraph" w:styleId="Index2">
    <w:name w:val="index 2"/>
    <w:basedOn w:val="Index1"/>
    <w:semiHidden/>
    <w:rsid w:val="00AA5A8E"/>
    <w:pPr>
      <w:ind w:left="284"/>
    </w:pPr>
  </w:style>
  <w:style w:type="paragraph" w:styleId="Index1">
    <w:name w:val="index 1"/>
    <w:basedOn w:val="Normal"/>
    <w:semiHidden/>
    <w:rsid w:val="00AA5A8E"/>
    <w:pPr>
      <w:keepLines/>
      <w:spacing w:after="0"/>
    </w:pPr>
  </w:style>
  <w:style w:type="paragraph" w:styleId="DocumentMap">
    <w:name w:val="Document Map"/>
    <w:basedOn w:val="Normal"/>
    <w:semiHidden/>
    <w:rsid w:val="00AA5A8E"/>
    <w:pPr>
      <w:shd w:val="clear" w:color="auto" w:fill="000080"/>
    </w:pPr>
    <w:rPr>
      <w:rFonts w:ascii="Tahoma" w:hAnsi="Tahoma" w:cs="Tahoma"/>
    </w:rPr>
  </w:style>
  <w:style w:type="paragraph" w:styleId="ListNumber2">
    <w:name w:val="List Number 2"/>
    <w:basedOn w:val="ListNumber"/>
    <w:rsid w:val="00AA5A8E"/>
    <w:pPr>
      <w:ind w:left="851"/>
    </w:pPr>
  </w:style>
  <w:style w:type="paragraph" w:styleId="ListNumber">
    <w:name w:val="List Number"/>
    <w:basedOn w:val="List"/>
    <w:rsid w:val="00AA5A8E"/>
  </w:style>
  <w:style w:type="paragraph" w:styleId="List">
    <w:name w:val="List"/>
    <w:basedOn w:val="Normal"/>
    <w:rsid w:val="00AA5A8E"/>
    <w:pPr>
      <w:ind w:left="568" w:hanging="284"/>
    </w:pPr>
  </w:style>
  <w:style w:type="paragraph" w:styleId="Header">
    <w:name w:val="header"/>
    <w:rsid w:val="00AA5A8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5A8E"/>
    <w:rPr>
      <w:b/>
      <w:bCs/>
      <w:position w:val="6"/>
      <w:sz w:val="16"/>
      <w:szCs w:val="16"/>
    </w:rPr>
  </w:style>
  <w:style w:type="paragraph" w:styleId="FootnoteText">
    <w:name w:val="footnote text"/>
    <w:basedOn w:val="Normal"/>
    <w:semiHidden/>
    <w:rsid w:val="00AA5A8E"/>
    <w:pPr>
      <w:keepLines/>
      <w:spacing w:after="0"/>
      <w:ind w:left="454" w:hanging="454"/>
    </w:pPr>
    <w:rPr>
      <w:sz w:val="16"/>
      <w:szCs w:val="16"/>
    </w:rPr>
  </w:style>
  <w:style w:type="paragraph" w:customStyle="1" w:styleId="3GPPHeader">
    <w:name w:val="3GPP_Header"/>
    <w:basedOn w:val="Normal"/>
    <w:rsid w:val="00AA5A8E"/>
    <w:pPr>
      <w:tabs>
        <w:tab w:val="left" w:pos="1701"/>
        <w:tab w:val="right" w:pos="9639"/>
      </w:tabs>
      <w:spacing w:after="240"/>
    </w:pPr>
    <w:rPr>
      <w:b/>
      <w:sz w:val="24"/>
    </w:rPr>
  </w:style>
  <w:style w:type="paragraph" w:styleId="TOC9">
    <w:name w:val="toc 9"/>
    <w:basedOn w:val="TOC8"/>
    <w:semiHidden/>
    <w:rsid w:val="00AA5A8E"/>
    <w:pPr>
      <w:ind w:left="1418" w:hanging="1418"/>
    </w:pPr>
  </w:style>
  <w:style w:type="paragraph" w:styleId="TOC6">
    <w:name w:val="toc 6"/>
    <w:basedOn w:val="TOC5"/>
    <w:next w:val="Normal"/>
    <w:semiHidden/>
    <w:rsid w:val="00AA5A8E"/>
    <w:pPr>
      <w:ind w:left="1985" w:hanging="1985"/>
    </w:pPr>
  </w:style>
  <w:style w:type="paragraph" w:styleId="TOC7">
    <w:name w:val="toc 7"/>
    <w:basedOn w:val="TOC6"/>
    <w:next w:val="Normal"/>
    <w:semiHidden/>
    <w:rsid w:val="00AA5A8E"/>
    <w:pPr>
      <w:ind w:left="2268" w:hanging="2268"/>
    </w:pPr>
  </w:style>
  <w:style w:type="paragraph" w:styleId="ListBullet2">
    <w:name w:val="List Bullet 2"/>
    <w:basedOn w:val="ListBullet"/>
    <w:rsid w:val="00AA5A8E"/>
    <w:pPr>
      <w:numPr>
        <w:numId w:val="6"/>
      </w:numPr>
    </w:pPr>
  </w:style>
  <w:style w:type="paragraph" w:styleId="ListBullet">
    <w:name w:val="List Bullet"/>
    <w:basedOn w:val="BodyText"/>
    <w:rsid w:val="00AA5A8E"/>
    <w:pPr>
      <w:numPr>
        <w:numId w:val="5"/>
      </w:numPr>
    </w:pPr>
  </w:style>
  <w:style w:type="paragraph" w:styleId="ListBullet3">
    <w:name w:val="List Bullet 3"/>
    <w:basedOn w:val="ListBullet2"/>
    <w:rsid w:val="00AA5A8E"/>
    <w:pPr>
      <w:numPr>
        <w:numId w:val="7"/>
      </w:numPr>
    </w:pPr>
  </w:style>
  <w:style w:type="paragraph" w:customStyle="1" w:styleId="EQ">
    <w:name w:val="EQ"/>
    <w:basedOn w:val="Normal"/>
    <w:next w:val="Normal"/>
    <w:rsid w:val="00AA5A8E"/>
    <w:pPr>
      <w:keepLines/>
      <w:tabs>
        <w:tab w:val="center" w:pos="4536"/>
        <w:tab w:val="right" w:pos="9072"/>
      </w:tabs>
      <w:spacing w:after="180"/>
      <w:jc w:val="left"/>
    </w:pPr>
    <w:rPr>
      <w:noProof/>
      <w:lang w:eastAsia="en-US"/>
    </w:rPr>
  </w:style>
  <w:style w:type="paragraph" w:styleId="List2">
    <w:name w:val="List 2"/>
    <w:basedOn w:val="List"/>
    <w:rsid w:val="00AA5A8E"/>
    <w:pPr>
      <w:ind w:left="851"/>
    </w:pPr>
  </w:style>
  <w:style w:type="paragraph" w:styleId="List3">
    <w:name w:val="List 3"/>
    <w:basedOn w:val="List2"/>
    <w:rsid w:val="00AA5A8E"/>
    <w:pPr>
      <w:ind w:left="1135"/>
    </w:pPr>
  </w:style>
  <w:style w:type="paragraph" w:styleId="List4">
    <w:name w:val="List 4"/>
    <w:basedOn w:val="List3"/>
    <w:rsid w:val="00AA5A8E"/>
    <w:pPr>
      <w:ind w:left="1418"/>
    </w:pPr>
  </w:style>
  <w:style w:type="paragraph" w:styleId="List5">
    <w:name w:val="List 5"/>
    <w:basedOn w:val="List4"/>
    <w:rsid w:val="00AA5A8E"/>
    <w:pPr>
      <w:ind w:left="1702"/>
    </w:pPr>
  </w:style>
  <w:style w:type="paragraph" w:customStyle="1" w:styleId="EditorsNote">
    <w:name w:val="Editor's Note"/>
    <w:basedOn w:val="Normal"/>
    <w:rsid w:val="00AA5A8E"/>
    <w:pPr>
      <w:keepLines/>
      <w:spacing w:after="180"/>
      <w:ind w:left="1135" w:hanging="851"/>
      <w:jc w:val="left"/>
    </w:pPr>
    <w:rPr>
      <w:color w:val="FF0000"/>
      <w:lang w:eastAsia="en-US"/>
    </w:rPr>
  </w:style>
  <w:style w:type="paragraph" w:styleId="ListBullet4">
    <w:name w:val="List Bullet 4"/>
    <w:basedOn w:val="ListBullet3"/>
    <w:rsid w:val="00AA5A8E"/>
    <w:pPr>
      <w:numPr>
        <w:numId w:val="8"/>
      </w:numPr>
    </w:pPr>
  </w:style>
  <w:style w:type="paragraph" w:styleId="ListBullet5">
    <w:name w:val="List Bullet 5"/>
    <w:basedOn w:val="ListBullet4"/>
    <w:rsid w:val="00AA5A8E"/>
    <w:pPr>
      <w:numPr>
        <w:numId w:val="4"/>
      </w:numPr>
    </w:pPr>
  </w:style>
  <w:style w:type="paragraph" w:styleId="Footer">
    <w:name w:val="footer"/>
    <w:basedOn w:val="Header"/>
    <w:semiHidden/>
    <w:rsid w:val="00AA5A8E"/>
    <w:pPr>
      <w:jc w:val="center"/>
    </w:pPr>
    <w:rPr>
      <w:i/>
      <w:iCs/>
    </w:rPr>
  </w:style>
  <w:style w:type="paragraph" w:customStyle="1" w:styleId="Reference">
    <w:name w:val="Reference"/>
    <w:basedOn w:val="Normal"/>
    <w:rsid w:val="00AA5A8E"/>
    <w:pPr>
      <w:numPr>
        <w:numId w:val="2"/>
      </w:numPr>
    </w:pPr>
  </w:style>
  <w:style w:type="paragraph" w:styleId="BalloonText">
    <w:name w:val="Balloon Text"/>
    <w:basedOn w:val="Normal"/>
    <w:semiHidden/>
    <w:rsid w:val="00AA5A8E"/>
    <w:rPr>
      <w:rFonts w:ascii="Tahoma" w:hAnsi="Tahoma" w:cs="Tahoma"/>
      <w:sz w:val="16"/>
      <w:szCs w:val="16"/>
    </w:rPr>
  </w:style>
  <w:style w:type="character" w:styleId="PageNumber">
    <w:name w:val="page number"/>
    <w:basedOn w:val="DefaultParagraphFont"/>
    <w:semiHidden/>
    <w:rsid w:val="00AA5A8E"/>
  </w:style>
  <w:style w:type="paragraph" w:styleId="BodyText">
    <w:name w:val="Body Text"/>
    <w:basedOn w:val="Normal"/>
    <w:link w:val="BodyTextChar"/>
    <w:rsid w:val="00AA5A8E"/>
  </w:style>
  <w:style w:type="character" w:styleId="Hyperlink">
    <w:name w:val="Hyperlink"/>
    <w:uiPriority w:val="99"/>
    <w:rsid w:val="00AA5A8E"/>
    <w:rPr>
      <w:color w:val="0000FF"/>
      <w:u w:val="single"/>
      <w:lang w:val="en-GB"/>
    </w:rPr>
  </w:style>
  <w:style w:type="character" w:styleId="FollowedHyperlink">
    <w:name w:val="FollowedHyperlink"/>
    <w:semiHidden/>
    <w:rsid w:val="00AA5A8E"/>
    <w:rPr>
      <w:color w:val="FF0000"/>
      <w:u w:val="single"/>
    </w:rPr>
  </w:style>
  <w:style w:type="character" w:styleId="CommentReference">
    <w:name w:val="annotation reference"/>
    <w:semiHidden/>
    <w:rsid w:val="00AA5A8E"/>
    <w:rPr>
      <w:sz w:val="16"/>
      <w:szCs w:val="16"/>
    </w:rPr>
  </w:style>
  <w:style w:type="paragraph" w:styleId="CommentText">
    <w:name w:val="annotation text"/>
    <w:basedOn w:val="Normal"/>
    <w:semiHidden/>
    <w:rsid w:val="00AA5A8E"/>
  </w:style>
  <w:style w:type="paragraph" w:styleId="CommentSubject">
    <w:name w:val="annotation subject"/>
    <w:basedOn w:val="CommentText"/>
    <w:next w:val="CommentText"/>
    <w:semiHidden/>
    <w:rsid w:val="00AA5A8E"/>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AA5A8E"/>
    <w:rPr>
      <w:rFonts w:ascii="Arial" w:hAnsi="Arial" w:cs="Arial"/>
      <w:sz w:val="36"/>
      <w:szCs w:val="36"/>
      <w:lang w:val="en-GB" w:eastAsia="zh-CN"/>
    </w:rPr>
  </w:style>
  <w:style w:type="paragraph" w:customStyle="1" w:styleId="B1">
    <w:name w:val="B1"/>
    <w:basedOn w:val="List"/>
    <w:rsid w:val="00AA5A8E"/>
    <w:pPr>
      <w:spacing w:after="180"/>
      <w:jc w:val="left"/>
    </w:pPr>
    <w:rPr>
      <w:lang w:eastAsia="en-US"/>
    </w:rPr>
  </w:style>
  <w:style w:type="paragraph" w:customStyle="1" w:styleId="B2">
    <w:name w:val="B2"/>
    <w:basedOn w:val="List2"/>
    <w:rsid w:val="00AA5A8E"/>
    <w:pPr>
      <w:spacing w:after="180"/>
      <w:jc w:val="left"/>
    </w:pPr>
    <w:rPr>
      <w:lang w:eastAsia="en-US"/>
    </w:rPr>
  </w:style>
  <w:style w:type="paragraph" w:customStyle="1" w:styleId="B3">
    <w:name w:val="B3"/>
    <w:basedOn w:val="List3"/>
    <w:rsid w:val="00AA5A8E"/>
    <w:pPr>
      <w:spacing w:after="180"/>
      <w:jc w:val="left"/>
    </w:pPr>
    <w:rPr>
      <w:lang w:eastAsia="en-US"/>
    </w:rPr>
  </w:style>
  <w:style w:type="paragraph" w:customStyle="1" w:styleId="B4">
    <w:name w:val="B4"/>
    <w:basedOn w:val="List4"/>
    <w:rsid w:val="00AA5A8E"/>
    <w:pPr>
      <w:spacing w:after="180"/>
      <w:jc w:val="left"/>
    </w:pPr>
    <w:rPr>
      <w:lang w:eastAsia="en-US"/>
    </w:rPr>
  </w:style>
  <w:style w:type="paragraph" w:customStyle="1" w:styleId="Proposal">
    <w:name w:val="Proposal"/>
    <w:basedOn w:val="Normal"/>
    <w:rsid w:val="00EB1038"/>
    <w:pPr>
      <w:numPr>
        <w:numId w:val="3"/>
      </w:numPr>
      <w:tabs>
        <w:tab w:val="clear" w:pos="1304"/>
        <w:tab w:val="left" w:pos="1701"/>
      </w:tabs>
      <w:ind w:left="1701" w:hanging="1701"/>
    </w:pPr>
    <w:rPr>
      <w:b/>
      <w:bCs/>
    </w:rPr>
  </w:style>
  <w:style w:type="character" w:customStyle="1" w:styleId="BodyTextChar">
    <w:name w:val="Body Text Char"/>
    <w:link w:val="BodyText"/>
    <w:rsid w:val="00AA5A8E"/>
    <w:rPr>
      <w:rFonts w:ascii="Arial" w:hAnsi="Arial"/>
      <w:lang w:val="en-GB" w:eastAsia="zh-CN"/>
    </w:rPr>
  </w:style>
  <w:style w:type="paragraph" w:customStyle="1" w:styleId="B5">
    <w:name w:val="B5"/>
    <w:basedOn w:val="List5"/>
    <w:rsid w:val="00AA5A8E"/>
    <w:pPr>
      <w:spacing w:after="180"/>
      <w:jc w:val="left"/>
    </w:pPr>
    <w:rPr>
      <w:lang w:eastAsia="en-US"/>
    </w:rPr>
  </w:style>
  <w:style w:type="paragraph" w:customStyle="1" w:styleId="EX">
    <w:name w:val="EX"/>
    <w:basedOn w:val="Normal"/>
    <w:rsid w:val="00AA5A8E"/>
    <w:pPr>
      <w:keepLines/>
      <w:spacing w:after="180"/>
      <w:ind w:left="1702" w:hanging="1418"/>
      <w:jc w:val="left"/>
    </w:pPr>
    <w:rPr>
      <w:lang w:eastAsia="en-US"/>
    </w:rPr>
  </w:style>
  <w:style w:type="paragraph" w:customStyle="1" w:styleId="EW">
    <w:name w:val="EW"/>
    <w:basedOn w:val="EX"/>
    <w:rsid w:val="00AA5A8E"/>
    <w:pPr>
      <w:spacing w:after="0"/>
    </w:pPr>
  </w:style>
  <w:style w:type="paragraph" w:customStyle="1" w:styleId="TAL">
    <w:name w:val="TAL"/>
    <w:basedOn w:val="Normal"/>
    <w:rsid w:val="00AA5A8E"/>
    <w:pPr>
      <w:keepNext/>
      <w:keepLines/>
      <w:spacing w:after="0"/>
      <w:jc w:val="left"/>
    </w:pPr>
    <w:rPr>
      <w:sz w:val="18"/>
      <w:lang w:eastAsia="en-US"/>
    </w:rPr>
  </w:style>
  <w:style w:type="paragraph" w:customStyle="1" w:styleId="TAC">
    <w:name w:val="TAC"/>
    <w:basedOn w:val="TAL"/>
    <w:rsid w:val="00AA5A8E"/>
    <w:pPr>
      <w:jc w:val="center"/>
    </w:pPr>
  </w:style>
  <w:style w:type="paragraph" w:customStyle="1" w:styleId="TAH">
    <w:name w:val="TAH"/>
    <w:basedOn w:val="TAC"/>
    <w:rsid w:val="00AA5A8E"/>
    <w:rPr>
      <w:b/>
    </w:rPr>
  </w:style>
  <w:style w:type="paragraph" w:customStyle="1" w:styleId="TAN">
    <w:name w:val="TAN"/>
    <w:basedOn w:val="TAL"/>
    <w:rsid w:val="00AA5A8E"/>
    <w:pPr>
      <w:ind w:left="851" w:hanging="851"/>
    </w:pPr>
  </w:style>
  <w:style w:type="paragraph" w:customStyle="1" w:styleId="TAR">
    <w:name w:val="TAR"/>
    <w:basedOn w:val="TAL"/>
    <w:rsid w:val="00AA5A8E"/>
    <w:pPr>
      <w:jc w:val="right"/>
    </w:pPr>
  </w:style>
  <w:style w:type="paragraph" w:customStyle="1" w:styleId="TH">
    <w:name w:val="TH"/>
    <w:basedOn w:val="Normal"/>
    <w:rsid w:val="00AA5A8E"/>
    <w:pPr>
      <w:keepNext/>
      <w:keepLines/>
      <w:spacing w:before="60" w:after="180"/>
      <w:jc w:val="center"/>
    </w:pPr>
    <w:rPr>
      <w:b/>
      <w:lang w:eastAsia="en-US"/>
    </w:rPr>
  </w:style>
  <w:style w:type="paragraph" w:customStyle="1" w:styleId="TF">
    <w:name w:val="TF"/>
    <w:basedOn w:val="TH"/>
    <w:rsid w:val="00AA5A8E"/>
    <w:pPr>
      <w:keepNext w:val="0"/>
      <w:spacing w:before="0" w:after="240"/>
    </w:pPr>
  </w:style>
  <w:style w:type="paragraph" w:customStyle="1" w:styleId="TT">
    <w:name w:val="TT"/>
    <w:basedOn w:val="Heading1"/>
    <w:next w:val="Normal"/>
    <w:rsid w:val="00AA5A8E"/>
    <w:pPr>
      <w:numPr>
        <w:numId w:val="0"/>
      </w:numPr>
      <w:ind w:left="1134" w:hanging="1134"/>
      <w:outlineLvl w:val="9"/>
    </w:pPr>
    <w:rPr>
      <w:rFonts w:cs="Times New Roman"/>
      <w:szCs w:val="20"/>
      <w:lang w:eastAsia="en-US"/>
    </w:rPr>
  </w:style>
  <w:style w:type="paragraph" w:customStyle="1" w:styleId="ZA">
    <w:name w:val="ZA"/>
    <w:rsid w:val="00AA5A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5A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5A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5A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5A8E"/>
  </w:style>
  <w:style w:type="paragraph" w:customStyle="1" w:styleId="ZH">
    <w:name w:val="ZH"/>
    <w:rsid w:val="00AA5A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5A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5A8E"/>
    <w:pPr>
      <w:framePr w:hRule="auto" w:wrap="notBeside" w:y="852"/>
    </w:pPr>
    <w:rPr>
      <w:i w:val="0"/>
      <w:sz w:val="40"/>
    </w:rPr>
  </w:style>
  <w:style w:type="paragraph" w:customStyle="1" w:styleId="ZU">
    <w:name w:val="ZU"/>
    <w:rsid w:val="00AA5A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5A8E"/>
    <w:pPr>
      <w:framePr w:wrap="notBeside" w:y="16161"/>
    </w:pPr>
  </w:style>
  <w:style w:type="paragraph" w:customStyle="1" w:styleId="FP">
    <w:name w:val="FP"/>
    <w:basedOn w:val="Normal"/>
    <w:rsid w:val="00AA5A8E"/>
    <w:pPr>
      <w:spacing w:after="0"/>
      <w:jc w:val="left"/>
    </w:pPr>
    <w:rPr>
      <w:lang w:eastAsia="en-US"/>
    </w:rPr>
  </w:style>
  <w:style w:type="paragraph" w:customStyle="1" w:styleId="Observation">
    <w:name w:val="Observation"/>
    <w:basedOn w:val="Proposal"/>
    <w:qFormat/>
    <w:rsid w:val="00EB1038"/>
    <w:pPr>
      <w:numPr>
        <w:numId w:val="13"/>
      </w:numPr>
      <w:ind w:left="1701" w:hanging="1701"/>
    </w:pPr>
  </w:style>
  <w:style w:type="paragraph" w:styleId="TableofFigures">
    <w:name w:val="table of figures"/>
    <w:basedOn w:val="Normal"/>
    <w:next w:val="Normal"/>
    <w:uiPriority w:val="99"/>
    <w:rsid w:val="00AA5A8E"/>
    <w:pPr>
      <w:ind w:left="1418" w:hanging="1418"/>
      <w:jc w:val="left"/>
    </w:pPr>
    <w:rPr>
      <w:b/>
    </w:rPr>
  </w:style>
  <w:style w:type="paragraph" w:customStyle="1" w:styleId="Doc-text2">
    <w:name w:val="Doc-text2"/>
    <w:basedOn w:val="Normal"/>
    <w:link w:val="Doc-text2Char"/>
    <w:qFormat/>
    <w:rsid w:val="00AA5A8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A5A8E"/>
    <w:rPr>
      <w:rFonts w:ascii="Arial" w:eastAsia="MS Mincho" w:hAnsi="Arial"/>
      <w:szCs w:val="24"/>
      <w:lang w:val="en-GB" w:eastAsia="en-GB"/>
    </w:rPr>
  </w:style>
  <w:style w:type="paragraph" w:styleId="ListParagraph">
    <w:name w:val="List Paragraph"/>
    <w:basedOn w:val="Normal"/>
    <w:link w:val="ListParagraphChar"/>
    <w:uiPriority w:val="34"/>
    <w:qFormat/>
    <w:rsid w:val="00385736"/>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lang w:val="en-US"/>
    </w:rPr>
  </w:style>
  <w:style w:type="character" w:customStyle="1" w:styleId="ListParagraphChar">
    <w:name w:val="List Paragraph Char"/>
    <w:link w:val="ListParagraph"/>
    <w:uiPriority w:val="34"/>
    <w:qFormat/>
    <w:locked/>
    <w:rsid w:val="00385736"/>
    <w:rPr>
      <w:rFonts w:asciiTheme="minorHAnsi" w:eastAsiaTheme="minorEastAsia" w:hAnsiTheme="minorHAnsi" w:cstheme="minorBidi"/>
      <w:sz w:val="22"/>
      <w:szCs w:val="22"/>
      <w:lang w:eastAsia="zh-CN"/>
    </w:rPr>
  </w:style>
  <w:style w:type="paragraph" w:customStyle="1" w:styleId="RAN1text">
    <w:name w:val="RAN1 text"/>
    <w:basedOn w:val="BodyText"/>
    <w:link w:val="RAN1textChar"/>
    <w:qFormat/>
    <w:rsid w:val="00571BD5"/>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571BD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71BD5"/>
    <w:pPr>
      <w:numPr>
        <w:numId w:val="21"/>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71BD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jinh\Desktop\work-folder\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5NUHHDQN7SK2-1-184878</_dlc_DocId>
    <_dlc_DocIdUrl xmlns="08b2df90-05d3-4030-90d4-c9feeb4a1cd9">
      <Url>https://ericoll.internal.ericsson.com/sites/star/_layouts/DocIdRedir.aspx?ID=5NUHHDQN7SK2-1-184878</Url>
      <Description>5NUHHDQN7SK2-1-184878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A2C8CD1E-CD98-4296-9C02-E8B41903E678}"/>
</file>

<file path=docProps/app.xml><?xml version="1.0" encoding="utf-8"?>
<Properties xmlns="http://schemas.openxmlformats.org/officeDocument/2006/extended-properties" xmlns:vt="http://schemas.openxmlformats.org/officeDocument/2006/docPropsVTypes">
  <Template>R2-17xxxxx - Contribution Template.dotx</Template>
  <TotalTime>85</TotalTime>
  <Pages>3</Pages>
  <Words>977</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Liu Jinhua</dc:creator>
  <cp:keywords>Ericsson; TDoc; 3GPP</cp:keywords>
  <cp:lastModifiedBy>Ericsson</cp:lastModifiedBy>
  <cp:revision>27</cp:revision>
  <cp:lastPrinted>2008-01-31T16:09:00Z</cp:lastPrinted>
  <dcterms:created xsi:type="dcterms:W3CDTF">2017-10-30T00:57:00Z</dcterms:created>
  <dcterms:modified xsi:type="dcterms:W3CDTF">2017-11-16T22:10:00Z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ea0afad6-997c-4e8d-809a-dc329fde0d4d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